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4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vesignal Sparkassen Münsterland Giro 2026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